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AB" w:rsidRPr="00CB1184" w:rsidRDefault="001A4862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4C136E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4C136E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1A48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2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</w:t>
            </w:r>
            <w:r w:rsidR="001A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2019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D32A59" w:rsidRPr="00F929A2" w:rsidRDefault="00D32A59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92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157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C97" w:rsidRDefault="001A4862" w:rsidP="00D32A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от 29.12.2018г</w:t>
      </w:r>
    </w:p>
    <w:p w:rsidR="00D32A59" w:rsidRPr="00D32A59" w:rsidRDefault="00711C97" w:rsidP="00D32A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114 </w:t>
      </w:r>
      <w:r w:rsidR="00D32A59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1A4862" w:rsidRPr="00D32A5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D32A59" w:rsidRDefault="00D32A59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</w:t>
      </w:r>
      <w:r w:rsidR="00711C97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поселения «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Охрана окружающей среды и рациональное </w:t>
      </w:r>
      <w:r w:rsidR="00711C97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природопользование </w:t>
      </w:r>
      <w:r w:rsidR="00711C97" w:rsidRPr="00D32A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2019-</w:t>
      </w:r>
      <w:r w:rsidR="00711C97" w:rsidRPr="00D32A59">
        <w:rPr>
          <w:rFonts w:ascii="Times New Roman" w:eastAsia="Times New Roman" w:hAnsi="Times New Roman"/>
          <w:sz w:val="28"/>
          <w:szCs w:val="28"/>
          <w:lang w:eastAsia="ru-RU"/>
        </w:rPr>
        <w:t>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711C97" w:rsidRPr="00711C97" w:rsidRDefault="00D32A59" w:rsidP="00711C97">
      <w:pPr>
        <w:spacing w:line="360" w:lineRule="atLeast"/>
        <w:ind w:firstLine="51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711C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,</w:t>
      </w:r>
      <w:r w:rsidR="00711C97" w:rsidRPr="00711C97">
        <w:rPr>
          <w:kern w:val="2"/>
          <w:sz w:val="28"/>
          <w:szCs w:val="28"/>
        </w:rPr>
        <w:t xml:space="preserve"> 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>решением Собрания депутатов от 25.12.2019г. №</w:t>
      </w:r>
      <w:r w:rsidR="00E82B3C">
        <w:rPr>
          <w:rFonts w:ascii="Times New Roman" w:hAnsi="Times New Roman"/>
          <w:kern w:val="2"/>
          <w:sz w:val="28"/>
          <w:szCs w:val="28"/>
        </w:rPr>
        <w:t>57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 xml:space="preserve"> «О бюджете Калининского сельского поселения Цимлянского района на 2020год и на плановый 2021 и 2022 годов»</w:t>
      </w:r>
    </w:p>
    <w:p w:rsid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b/>
          <w:spacing w:val="30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76697D" w:rsidRDefault="0076697D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11C97" w:rsidRPr="0076697D" w:rsidRDefault="0076697D" w:rsidP="0076697D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76697D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711C97" w:rsidRPr="000713BF" w:rsidRDefault="00711C97" w:rsidP="00711C97">
      <w:pPr>
        <w:pStyle w:val="ae"/>
        <w:rPr>
          <w:kern w:val="2"/>
          <w:szCs w:val="28"/>
        </w:rPr>
      </w:pPr>
      <w:r w:rsidRPr="000713BF">
        <w:rPr>
          <w:kern w:val="2"/>
          <w:szCs w:val="28"/>
        </w:rPr>
        <w:t xml:space="preserve"> </w:t>
      </w:r>
    </w:p>
    <w:p w:rsidR="00D32A59" w:rsidRPr="00711C97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Администрации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D32A59" w:rsidRP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711C97" w:rsidRDefault="00D32A59" w:rsidP="00D32A59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         </w:t>
      </w:r>
    </w:p>
    <w:p w:rsidR="006427BA" w:rsidRPr="006427BA" w:rsidRDefault="006427BA" w:rsidP="00D32A59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D32A59">
        <w:rPr>
          <w:rFonts w:ascii="Times New Roman" w:hAnsi="Times New Roman"/>
          <w:kern w:val="2"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B76A67" w:rsidRPr="00CB539B" w:rsidRDefault="006427BA" w:rsidP="006427BA">
      <w:pPr>
        <w:spacing w:after="0"/>
        <w:ind w:left="538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31.12.</w:t>
      </w:r>
      <w:r w:rsidR="001A4862">
        <w:rPr>
          <w:rFonts w:ascii="Times New Roman" w:hAnsi="Times New Roman"/>
          <w:kern w:val="2"/>
          <w:sz w:val="28"/>
          <w:szCs w:val="28"/>
        </w:rPr>
        <w:t>2019</w:t>
      </w:r>
      <w:r w:rsidR="00593B3F"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t>№</w:t>
      </w:r>
      <w:r w:rsidR="00F929A2">
        <w:rPr>
          <w:rFonts w:ascii="Times New Roman" w:hAnsi="Times New Roman"/>
          <w:kern w:val="2"/>
          <w:sz w:val="28"/>
          <w:szCs w:val="28"/>
        </w:rPr>
        <w:t>157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  <w:bookmarkStart w:id="0" w:name="_GoBack"/>
      <w:bookmarkEnd w:id="0"/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50"/>
        <w:gridCol w:w="6495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951021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C3252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6E0FDD">
              <w:rPr>
                <w:rFonts w:ascii="Times New Roman" w:hAnsi="Times New Roman"/>
                <w:sz w:val="28"/>
                <w:szCs w:val="28"/>
              </w:rPr>
              <w:t>5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C3252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FC3252">
              <w:rPr>
                <w:rFonts w:ascii="Times New Roman" w:hAnsi="Times New Roman"/>
                <w:sz w:val="28"/>
                <w:szCs w:val="28"/>
              </w:rPr>
              <w:t>5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3,0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–0,0т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5D1F28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охват населения планово- регулярной системой сбора и вывоза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</w:t>
            </w:r>
            <w:r>
              <w:rPr>
                <w:rFonts w:ascii="Times New Roman" w:hAnsi="Times New Roman"/>
              </w:rPr>
              <w:lastRenderedPageBreak/>
              <w:t xml:space="preserve">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не исполнение требований </w:t>
            </w: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Федерального закона от </w:t>
            </w:r>
            <w:proofErr w:type="gramStart"/>
            <w:r w:rsidRPr="00E96D71">
              <w:rPr>
                <w:rFonts w:ascii="Times New Roman" w:hAnsi="Times New Roman"/>
                <w:color w:val="000000"/>
              </w:rPr>
              <w:t>21.07.1997г  №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</w:t>
            </w:r>
            <w:r w:rsidRPr="00105F90">
              <w:rPr>
                <w:rFonts w:ascii="Times New Roman" w:hAnsi="Times New Roman"/>
              </w:rPr>
              <w:lastRenderedPageBreak/>
              <w:t xml:space="preserve">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lastRenderedPageBreak/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B2778" w:rsidRPr="008915BB" w:rsidTr="003E4BB0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8A3E2B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B2778" w:rsidRPr="0059708D" w:rsidRDefault="00CB277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2778" w:rsidRPr="0059708D" w:rsidRDefault="00FC3252" w:rsidP="00ED348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  <w:r w:rsidR="00CB277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Pr="0059708D" w:rsidRDefault="00FC3252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CB277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09021B" w:rsidRPr="008915BB" w:rsidTr="00ED3483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FC3252" w:rsidP="001A48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Pr="0059708D" w:rsidRDefault="0009021B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Pr="0059708D" w:rsidRDefault="00FC3252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09021B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3E4B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9021B" w:rsidRPr="0059708D" w:rsidRDefault="0009021B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3252">
              <w:rPr>
                <w:rFonts w:ascii="Times New Roman" w:hAnsi="Times New Roman"/>
                <w:bCs/>
                <w:color w:val="000000"/>
              </w:rPr>
              <w:t>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FC3252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09021B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3252">
              <w:rPr>
                <w:rFonts w:ascii="Times New Roman" w:hAnsi="Times New Roman"/>
                <w:bCs/>
                <w:color w:val="000000"/>
              </w:rPr>
              <w:t>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FC3252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ED3483" w:rsidRPr="008915BB" w:rsidTr="007F572F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59708D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4BB0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28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FC3252" w:rsidP="001A48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  <w:r w:rsidR="005D1F2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ED3483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ОМ.1.3.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4BB0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28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D32A5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59708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2.2. </w:t>
            </w:r>
            <w:r w:rsidR="0059708D" w:rsidRPr="0059708D">
              <w:rPr>
                <w:rFonts w:ascii="Times New Roman" w:hAnsi="Times New Roman"/>
                <w:color w:val="000000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4BB0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7D71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ED3483" w:rsidRPr="008D2FF0" w:rsidTr="00813131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5D1F28" w:rsidRPr="007D7168" w:rsidRDefault="005D1F28" w:rsidP="00B83A7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711C97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Pr="007D7168" w:rsidRDefault="00711C97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698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1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711C97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Pr="007D7168" w:rsidRDefault="00711C97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698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19" w:type="dxa"/>
          </w:tcPr>
          <w:p w:rsidR="005D1F28" w:rsidRDefault="005D1F28" w:rsidP="001A486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</w:tr>
      <w:tr w:rsidR="00ED3483" w:rsidRPr="008D2FF0" w:rsidTr="00813131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27ED8" w:rsidRPr="008D2FF0" w:rsidTr="00327E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327ED8" w:rsidRPr="0059708D" w:rsidRDefault="00327ED8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711C97">
              <w:rPr>
                <w:rFonts w:ascii="Times New Roman" w:hAnsi="Times New Roman"/>
                <w:bCs/>
                <w:color w:val="000000"/>
              </w:rPr>
              <w:t>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27ED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27ED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</w:tcPr>
          <w:p w:rsidR="00327ED8" w:rsidRPr="0059708D" w:rsidRDefault="00711C97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327ED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98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1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327ED8" w:rsidRPr="008D2FF0" w:rsidTr="00327E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27ED8" w:rsidRPr="0059708D" w:rsidRDefault="00327ED8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711C97">
              <w:rPr>
                <w:rFonts w:ascii="Times New Roman" w:hAnsi="Times New Roman"/>
                <w:bCs/>
                <w:color w:val="000000"/>
              </w:rPr>
              <w:t>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27ED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27ED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</w:tcPr>
          <w:p w:rsidR="00327ED8" w:rsidRPr="0059708D" w:rsidRDefault="00711C97" w:rsidP="001A48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327ED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98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19" w:type="dxa"/>
          </w:tcPr>
          <w:p w:rsidR="00327ED8" w:rsidRDefault="00327ED8" w:rsidP="001A486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</w:tcPr>
          <w:p w:rsidR="005D1F28" w:rsidRPr="007D7168" w:rsidRDefault="005D1F28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5D1F28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1A486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1A" w:rsidRDefault="0070261A" w:rsidP="00B76A67">
      <w:pPr>
        <w:spacing w:after="0" w:line="240" w:lineRule="auto"/>
      </w:pPr>
      <w:r>
        <w:separator/>
      </w:r>
    </w:p>
  </w:endnote>
  <w:endnote w:type="continuationSeparator" w:id="0">
    <w:p w:rsidR="0070261A" w:rsidRDefault="0070261A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1A" w:rsidRDefault="0070261A" w:rsidP="00B76A67">
      <w:pPr>
        <w:spacing w:after="0" w:line="240" w:lineRule="auto"/>
      </w:pPr>
      <w:r>
        <w:separator/>
      </w:r>
    </w:p>
  </w:footnote>
  <w:footnote w:type="continuationSeparator" w:id="0">
    <w:p w:rsidR="0070261A" w:rsidRDefault="0070261A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BA" w:rsidRDefault="006427BA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7"/>
    <w:rsid w:val="00023485"/>
    <w:rsid w:val="00064186"/>
    <w:rsid w:val="0009021B"/>
    <w:rsid w:val="000B3FEB"/>
    <w:rsid w:val="00105F90"/>
    <w:rsid w:val="00162F73"/>
    <w:rsid w:val="001731A6"/>
    <w:rsid w:val="001A3749"/>
    <w:rsid w:val="001A4862"/>
    <w:rsid w:val="001C26A3"/>
    <w:rsid w:val="00236AAB"/>
    <w:rsid w:val="0029530F"/>
    <w:rsid w:val="00326861"/>
    <w:rsid w:val="00327ED8"/>
    <w:rsid w:val="0038614E"/>
    <w:rsid w:val="003E4BB0"/>
    <w:rsid w:val="003F174F"/>
    <w:rsid w:val="003F234C"/>
    <w:rsid w:val="004054AA"/>
    <w:rsid w:val="0041797F"/>
    <w:rsid w:val="004E51C2"/>
    <w:rsid w:val="00507247"/>
    <w:rsid w:val="00531A03"/>
    <w:rsid w:val="00593B3F"/>
    <w:rsid w:val="00595036"/>
    <w:rsid w:val="0059708D"/>
    <w:rsid w:val="005C2486"/>
    <w:rsid w:val="005C7DDD"/>
    <w:rsid w:val="005D1F28"/>
    <w:rsid w:val="006427BA"/>
    <w:rsid w:val="006B745E"/>
    <w:rsid w:val="006C7AAE"/>
    <w:rsid w:val="006E0FDD"/>
    <w:rsid w:val="006F0F1B"/>
    <w:rsid w:val="0070261A"/>
    <w:rsid w:val="007106C6"/>
    <w:rsid w:val="00711C97"/>
    <w:rsid w:val="00730B6A"/>
    <w:rsid w:val="0076697D"/>
    <w:rsid w:val="007D7168"/>
    <w:rsid w:val="007F572F"/>
    <w:rsid w:val="00813131"/>
    <w:rsid w:val="00842DFF"/>
    <w:rsid w:val="008A3E2B"/>
    <w:rsid w:val="00937A19"/>
    <w:rsid w:val="00951021"/>
    <w:rsid w:val="00952E1F"/>
    <w:rsid w:val="00970AFB"/>
    <w:rsid w:val="0097469B"/>
    <w:rsid w:val="009E4B30"/>
    <w:rsid w:val="00A11CE7"/>
    <w:rsid w:val="00A507AB"/>
    <w:rsid w:val="00A75716"/>
    <w:rsid w:val="00A76045"/>
    <w:rsid w:val="00AD5FD8"/>
    <w:rsid w:val="00B026EC"/>
    <w:rsid w:val="00B13BAB"/>
    <w:rsid w:val="00B66691"/>
    <w:rsid w:val="00B76A67"/>
    <w:rsid w:val="00B83A73"/>
    <w:rsid w:val="00BF7151"/>
    <w:rsid w:val="00C032F9"/>
    <w:rsid w:val="00CA46DA"/>
    <w:rsid w:val="00CB1184"/>
    <w:rsid w:val="00CB2778"/>
    <w:rsid w:val="00CC3765"/>
    <w:rsid w:val="00CC3EE1"/>
    <w:rsid w:val="00CD4379"/>
    <w:rsid w:val="00CF5D68"/>
    <w:rsid w:val="00D32A59"/>
    <w:rsid w:val="00D43DD5"/>
    <w:rsid w:val="00D82E8E"/>
    <w:rsid w:val="00DC051F"/>
    <w:rsid w:val="00DD6891"/>
    <w:rsid w:val="00DE2AE1"/>
    <w:rsid w:val="00DF72CB"/>
    <w:rsid w:val="00E82B3C"/>
    <w:rsid w:val="00E96D71"/>
    <w:rsid w:val="00ED3483"/>
    <w:rsid w:val="00EE50DD"/>
    <w:rsid w:val="00F40E81"/>
    <w:rsid w:val="00F813EE"/>
    <w:rsid w:val="00F929A2"/>
    <w:rsid w:val="00FC3252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82A7-66D8-46F2-BB06-43F815A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2020-01-09T12:54:00Z</cp:lastPrinted>
  <dcterms:created xsi:type="dcterms:W3CDTF">2020-01-09T12:46:00Z</dcterms:created>
  <dcterms:modified xsi:type="dcterms:W3CDTF">2020-01-13T13:12:00Z</dcterms:modified>
</cp:coreProperties>
</file>